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6AA84F"/>
          <w:spacing w:val="40"/>
          <w:sz w:val="18"/>
          <w:szCs w:val="18"/>
        </w:rPr>
        <w:t xml:space="preserve">ERGEBNISPROTOKOLL</w:t>
      </w:r>
    </w:p>
    <w:p>
      <w:pPr>
        <w:pStyle w:val="Title"/>
      </w:pPr>
      <w:r>
        <w:rPr>
          <w:rFonts w:ascii="Arial" w:cs="Arial" w:eastAsia="Arial" w:hAnsi="Arial"/>
        </w:rPr>
        <w:t xml:space="preserve">Quartalsgespräch Q3 2026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7738"/>
      </w:tblGrid>
      <w:tr>
        <w:tc>
          <w:tcPr>
            <w:tcW w:type="dxa" w:w="1900"/>
            <w:tcBorders>
              <w:top w:val="single" w:color="D5D9DD" w:sz="4"/>
              <w:left w:val="none" w:color="FFFFFF" w:sz="0"/>
              <w:bottom w:val="single" w:color="D5D9DD" w:sz="4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73A69"/>
                <w:sz w:val="18"/>
                <w:szCs w:val="18"/>
              </w:rPr>
              <w:t xml:space="preserve">Datum</w:t>
            </w:r>
          </w:p>
        </w:tc>
        <w:tc>
          <w:tcPr>
            <w:tcW w:type="dxa" w:w="7738"/>
            <w:tcBorders>
              <w:top w:val="single" w:color="D5D9DD" w:sz="4"/>
              <w:left w:val="none" w:color="FFFFFF" w:sz="0"/>
              <w:bottom w:val="single" w:color="D5D9DD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Dienstag, 06.10.2026, 09:02 Uhr, 47 Minuten</w:t>
            </w:r>
          </w:p>
        </w:tc>
      </w:tr>
      <w:tr>
        <w:tc>
          <w:tcPr>
            <w:tcW w:type="dxa" w:w="1900"/>
            <w:tcBorders>
              <w:top w:val="single" w:color="D5D9DD" w:sz="4"/>
              <w:left w:val="none" w:color="FFFFFF" w:sz="0"/>
              <w:bottom w:val="single" w:color="D5D9DD" w:sz="4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73A69"/>
                <w:sz w:val="18"/>
                <w:szCs w:val="18"/>
              </w:rPr>
              <w:t xml:space="preserve">Ort</w:t>
            </w:r>
          </w:p>
        </w:tc>
        <w:tc>
          <w:tcPr>
            <w:tcW w:type="dxa" w:w="7738"/>
            <w:tcBorders>
              <w:top w:val="single" w:color="D5D9DD" w:sz="4"/>
              <w:left w:val="none" w:color="FFFFFF" w:sz="0"/>
              <w:bottom w:val="single" w:color="D5D9DD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Besprechungsraum 3. OG</w:t>
            </w:r>
          </w:p>
        </w:tc>
      </w:tr>
      <w:tr>
        <w:tc>
          <w:tcPr>
            <w:tcW w:type="dxa" w:w="1900"/>
            <w:tcBorders>
              <w:top w:val="single" w:color="D5D9DD" w:sz="4"/>
              <w:left w:val="none" w:color="FFFFFF" w:sz="0"/>
              <w:bottom w:val="single" w:color="D5D9DD" w:sz="4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73A69"/>
                <w:sz w:val="18"/>
                <w:szCs w:val="18"/>
              </w:rPr>
              <w:t xml:space="preserve">Leitung</w:t>
            </w:r>
          </w:p>
        </w:tc>
        <w:tc>
          <w:tcPr>
            <w:tcW w:type="dxa" w:w="7738"/>
            <w:tcBorders>
              <w:top w:val="single" w:color="D5D9DD" w:sz="4"/>
              <w:left w:val="none" w:color="FFFFFF" w:sz="0"/>
              <w:bottom w:val="single" w:color="D5D9DD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Dr. Sabine Oberhausen</w:t>
            </w:r>
          </w:p>
        </w:tc>
      </w:tr>
      <w:tr>
        <w:tc>
          <w:tcPr>
            <w:tcW w:type="dxa" w:w="1900"/>
            <w:tcBorders>
              <w:top w:val="single" w:color="D5D9DD" w:sz="4"/>
              <w:left w:val="none" w:color="FFFFFF" w:sz="0"/>
              <w:bottom w:val="single" w:color="D5D9DD" w:sz="4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73A69"/>
                <w:sz w:val="18"/>
                <w:szCs w:val="18"/>
              </w:rPr>
              <w:t xml:space="preserve">Protokoll</w:t>
            </w:r>
          </w:p>
        </w:tc>
        <w:tc>
          <w:tcPr>
            <w:tcW w:type="dxa" w:w="7738"/>
            <w:tcBorders>
              <w:top w:val="single" w:color="D5D9DD" w:sz="4"/>
              <w:left w:val="none" w:color="FFFFFF" w:sz="0"/>
              <w:bottom w:val="single" w:color="D5D9DD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Melanie Kessler</w:t>
            </w:r>
          </w:p>
        </w:tc>
      </w:tr>
      <w:tr>
        <w:tc>
          <w:tcPr>
            <w:tcW w:type="dxa" w:w="1900"/>
            <w:tcBorders>
              <w:top w:val="single" w:color="D5D9DD" w:sz="4"/>
              <w:left w:val="none" w:color="FFFFFF" w:sz="0"/>
              <w:bottom w:val="single" w:color="D5D9DD" w:sz="4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73A69"/>
                <w:sz w:val="18"/>
                <w:szCs w:val="18"/>
              </w:rPr>
              <w:t xml:space="preserve">Teilnehmende</w:t>
            </w:r>
          </w:p>
        </w:tc>
        <w:tc>
          <w:tcPr>
            <w:tcW w:type="dxa" w:w="7738"/>
            <w:tcBorders>
              <w:top w:val="single" w:color="D5D9DD" w:sz="4"/>
              <w:left w:val="none" w:color="FFFFFF" w:sz="0"/>
              <w:bottom w:val="single" w:color="D5D9DD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Dr. Sabine Oberhausen, Andrea Vollmer, Kemal Aydın, Marion Fechner, Frank Dietz, Jörg Heitkamp, Bernd Lüttgenau, Melanie Kessler; Ulf Brettschneider nur zu Beginn</w:t>
            </w:r>
          </w:p>
        </w:tc>
      </w:tr>
      <w:tr>
        <w:tc>
          <w:tcPr>
            <w:tcW w:type="dxa" w:w="1900"/>
            <w:tcBorders>
              <w:top w:val="single" w:color="D5D9DD" w:sz="4"/>
              <w:left w:val="none" w:color="FFFFFF" w:sz="0"/>
              <w:bottom w:val="single" w:color="D5D9DD" w:sz="4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73A69"/>
                <w:sz w:val="18"/>
                <w:szCs w:val="18"/>
              </w:rPr>
              <w:t xml:space="preserve">Aufnahme</w:t>
            </w:r>
          </w:p>
        </w:tc>
        <w:tc>
          <w:tcPr>
            <w:tcW w:type="dxa" w:w="7738"/>
            <w:tcBorders>
              <w:top w:val="single" w:color="D5D9DD" w:sz="4"/>
              <w:left w:val="none" w:color="FFFFFF" w:sz="0"/>
              <w:bottom w:val="single" w:color="D5D9DD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Aufnahme mit Zustimmung aller Teilnehmenden. Das Transkript erhält nur dieser Kreis, die Audiodatei wird nach 30 Tagen gelöscht.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6AA84F" w:sz="24"/>
              <w:bottom w:val="none" w:color="FFFFFF" w:sz="0"/>
              <w:right w:val="none" w:color="FFFFFF" w:sz="0"/>
            </w:tcBorders>
            <w:shd w:fill="E8F0F8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073A69"/>
                <w:sz w:val="22"/>
                <w:szCs w:val="22"/>
              </w:rPr>
              <w:t xml:space="preserve">Das Wichtigste in drei Sätzen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Mehr Umsatz, weniger Ergebnis: Der Umsatz wächst um 4,7 % zum Vorjahr, das EBIT sinkt von 680 auf 612 T€.</w:t>
            </w:r>
            <w:r>
              <w:rPr>
                <w:rFonts w:ascii="Arial" w:cs="Arial" w:eastAsia="Arial" w:hAnsi="Arial"/>
                <w:color w:val="5D656D"/>
                <w:sz w:val="16"/>
                <w:szCs w:val="16"/>
              </w:rPr>
              <w:t xml:space="preserve">  [00:05:44]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Der größte Einzelposten der Planabweichung läuft nicht schlecht, er kommt später: der Logistikpark Nordring startet am 01.11.</w:t>
            </w:r>
            <w:r>
              <w:rPr>
                <w:rFonts w:ascii="Arial" w:cs="Arial" w:eastAsia="Arial" w:hAnsi="Arial"/>
                <w:color w:val="5D656D"/>
                <w:sz w:val="16"/>
                <w:szCs w:val="16"/>
              </w:rPr>
              <w:t xml:space="preserve">  [00:15:21]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Hebel für 2027: Preise in 24 Verträgen ohne Gleitklausel, Forderungen eintreiben, Leute halten.</w:t>
            </w:r>
            <w:r>
              <w:rPr>
                <w:rFonts w:ascii="Arial" w:cs="Arial" w:eastAsia="Arial" w:hAnsi="Arial"/>
                <w:color w:val="5D656D"/>
                <w:sz w:val="16"/>
                <w:szCs w:val="16"/>
              </w:rPr>
              <w:t xml:space="preserve">  [00:46:08]</w:t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1. Gesamtzahlen Q3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5D656D"/>
          <w:sz w:val="18"/>
          <w:szCs w:val="18"/>
        </w:rPr>
        <w:t xml:space="preserve">Berichtet: Andrea Vollmer</w:t>
      </w:r>
    </w:p>
    <w:p>
      <w:pPr>
        <w:spacing w:after="60" w:before="60"/>
      </w:pPr>
      <w:r>
        <w:rPr>
          <w:rFonts w:ascii="Arial" w:cs="Arial" w:eastAsia="Arial" w:hAnsi="Arial"/>
          <w:b/>
          <w:bCs/>
          <w:color w:val="073A69"/>
          <w:sz w:val="18"/>
          <w:szCs w:val="18"/>
        </w:rPr>
        <w:t xml:space="preserve">Umsatz Q3 2026 nach Bereichen, in T€ (vorläufig)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8"/>
        <w:gridCol w:w="1280"/>
        <w:gridCol w:w="1280"/>
        <w:gridCol w:w="1280"/>
        <w:gridCol w:w="1280"/>
        <w:gridCol w:w="1280"/>
      </w:tblGrid>
      <w:tr>
        <w:trPr>
          <w:tblHeader/>
        </w:trPr>
        <w:tc>
          <w:tcPr>
            <w:tcW w:type="dxa" w:w="32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0A4F8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Bereich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0A4F8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Ist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0A4F8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Plan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0A4F8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Abw. Plan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0A4F8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Vorjahr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0A4F8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Abw. VJ</w:t>
            </w:r>
          </w:p>
        </w:tc>
      </w:tr>
      <w:tr>
        <w:tc>
          <w:tcPr>
            <w:tcW w:type="dxa" w:w="32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Gebäudereinigung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8.310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8.600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B23B3B"/>
                <w:sz w:val="18"/>
                <w:szCs w:val="18"/>
              </w:rPr>
              <w:t xml:space="preserve">−290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8.020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+290</w:t>
            </w:r>
          </w:p>
        </w:tc>
      </w:tr>
      <w:tr>
        <w:tc>
          <w:tcPr>
            <w:tcW w:type="dxa" w:w="32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Technischer Service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3.240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3.150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+90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2.910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+330</w:t>
            </w:r>
          </w:p>
        </w:tc>
      </w:tr>
      <w:tr>
        <w:tc>
          <w:tcPr>
            <w:tcW w:type="dxa" w:w="32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Sicherheit und Empfang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2.180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2.350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B23B3B"/>
                <w:sz w:val="18"/>
                <w:szCs w:val="18"/>
              </w:rPr>
              <w:t xml:space="preserve">−170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2.120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+60</w:t>
            </w:r>
          </w:p>
        </w:tc>
      </w:tr>
      <w:tr>
        <w:tc>
          <w:tcPr>
            <w:tcW w:type="dxa" w:w="32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Grünpflege und Winterdienst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1.090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1.300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B23B3B"/>
                <w:sz w:val="18"/>
                <w:szCs w:val="18"/>
              </w:rPr>
              <w:t xml:space="preserve">−210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1.100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B23B3B"/>
                <w:sz w:val="18"/>
                <w:szCs w:val="18"/>
              </w:rPr>
              <w:t xml:space="preserve">−10</w:t>
            </w:r>
          </w:p>
        </w:tc>
      </w:tr>
      <w:tr>
        <w:tc>
          <w:tcPr>
            <w:tcW w:type="dxa" w:w="32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E8F0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Gesamt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E8F0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14.820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E8F0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15.400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E8F0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B23B3B"/>
                <w:sz w:val="18"/>
                <w:szCs w:val="18"/>
              </w:rPr>
              <w:t xml:space="preserve">−580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E8F0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14.150</w:t>
            </w:r>
          </w:p>
        </w:tc>
        <w:tc>
          <w:tcPr>
            <w:tcW w:type="dxa" w:w="128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E8F0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+670</w:t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Umsatz Q3 14,82 Mio. € (Plan 15,40 Mio. €, −580 T€ / −3,8 %; Vorjahr 14,15 Mio. €, +4,7 %). Vorläufige Zahlen, Schwankung bis 30 T€ möglich.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[00:02:41]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Monate: Juli 4,88 Mio. €, August 4,71 Mio. € (Ferien, keine Grünpflege), September 5,23 Mio. € (Sonderreinigungen nach den Ferien, zwei vorgezogene Instandsetzungen über rund 340 T€, die im Oktober fehlen).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[00:04:54]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Q1 bis Q3 kumuliert 44,08 Mio. € gegen Plan 45,10 Mio. € (−1,02 Mio. €). Für den Jahresplan von 61,0 Mio. € müsste Q4 15,9 Mio. € bringen; Frau Vollmer hält das für nicht erreichbar.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[00:05:01]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EBIT Q3 612 T€, Marge 4,1 % (Plan 830 T€ / 5,4 %; Vorjahr 680 T€ / 4,8 %).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[00:05:44]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Personalkostenquote 71,8 % statt 70,5 % geplant, knapp 200 T€. Ursachen: Tariferhöhung im Juli ohne Weitergabe in vielen Verträgen, Zeitarbeit über Plan, Krankenstand.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[00:06:18]</w:t>
      </w:r>
    </w:p>
    <w:p>
      <w:pPr>
        <w:pStyle w:val="Heading1"/>
      </w:pPr>
      <w:r>
        <w:rPr>
          <w:rFonts w:ascii="Arial" w:cs="Arial" w:eastAsia="Arial" w:hAnsi="Arial"/>
        </w:rPr>
        <w:t xml:space="preserve">2. Bereiche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5D656D"/>
          <w:sz w:val="18"/>
          <w:szCs w:val="18"/>
        </w:rPr>
        <w:t xml:space="preserve">Berichtet: Fechner, Dietz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Gebäudereinigung: 8,31 Mio. € (Plan 8,60, Vorjahr 8,02), DB-Marge 9,8 % (Plan 11,0 %). Wachstum aus Volksbank am Markt und Seniorenzentrum Lindenhof. Unter Plan wegen Nordring (≈ 180 T€) und Personalausfällen mit Kürzungen.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[00:07:48]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Reklamationsquote 2,3 % der rund 420 Objekte je Monat, also knapp zehn berechtigte Reklamationen (Ziel unter 2,0 %; erstes Halbjahr 1,8 %).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[00:09:25]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Technischer Service: 3,24 Mio. € (Plan 3,15, Vorjahr 2,91), DB-Marge 14,2 % (Plan 13,5 %). Ohne die vorgezogenen Instandsetzungen etwa auf Plan.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[00:11:28]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Logistikpark Nordring: Start 01.11.2026 (ursprünglich August, dann September), 1,1 Mio. € p. a., 22 Stellen, davon 11 besetzt. Anlauf nur mit Zeitarbeit machbar.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[00:12:49]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Grünpflege und Winterdienst: 1,09 Mio. € (Plan 1,30, Vorjahr 1,10), DB-Marge 6,4 % (Plan 10,5 %), größte relative Abweichung. Trockener Sommer, Abrechnung nach Einsatz, Wetterrisiko liegt bei Kroll. Erst 60 % der Winterdienst-Verträge verlängert.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[00:13:45]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Sicherheit und Empfang: 2,18 Mio. € (Plan 2,35, Vorjahr 2,12), DB-Marge 8,1 % (Plan 9,0 %). Verlust Wessel Pharma, 14 Mitarbeitende im Objektschutz betroffen.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[00:15:05]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Planabweichung −580 T€: Reinigung −290, Grün −210, Sicherheit −170, Technik +90.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[00:15:21]</w:t>
      </w:r>
    </w:p>
    <w:p>
      <w:pPr>
        <w:pStyle w:val="Heading1"/>
      </w:pPr>
      <w:r>
        <w:rPr>
          <w:rFonts w:ascii="Arial" w:cs="Arial" w:eastAsia="Arial" w:hAnsi="Arial"/>
        </w:rPr>
        <w:t xml:space="preserve">3. Personal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5D656D"/>
          <w:sz w:val="18"/>
          <w:szCs w:val="18"/>
        </w:rPr>
        <w:t xml:space="preserve">Berichtet: Jörg Heitkamp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642 Mitarbeitende zum 30.09. (Vorjahr 618). Dafür waren rund 150 Einstellungen nötig.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[00:16:02]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Fluktuation 21 % annualisiert, in der Reinigung 27 %. Rund ein Drittel der Neuen geht in den ersten drei Monaten. Gründe laut Austrittsgesprächen: Arbeitszeiten, Anfahrt, fehlende Betreuung in den ersten Wochen.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[00:17:02]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Krankenquote 7,9 % (Vorjahr 6,8 %, Ziel 6,5 %), Reinigung 9,1 %. Ein Prozentpunkt kostet grob 120 bis 150 T€ im Quartal.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[00:17:45]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Zeitarbeit 410 T€ (Plan 250 T€): rund 60 T€ Vorlauf Nordring, Rest Krankheitsersatz in der Reinigung.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[00:18:18]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38 offene Stellen (Quartalsstand), Time-to-hire 34 Tage.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[00:21:08]</w:t>
      </w:r>
    </w:p>
    <w:p>
      <w:pPr>
        <w:pStyle w:val="Heading1"/>
      </w:pPr>
      <w:r>
        <w:rPr>
          <w:rFonts w:ascii="Arial" w:cs="Arial" w:eastAsia="Arial" w:hAnsi="Arial"/>
        </w:rPr>
        <w:t xml:space="preserve">4. Forderungen und Liquidität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5D656D"/>
          <w:sz w:val="18"/>
          <w:szCs w:val="18"/>
        </w:rPr>
        <w:t xml:space="preserve">Berichtet: Andrea Vollmer, Bernd Lüttgenau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Liquidität 3,4 Mio. € zum 30.09. (Plan 4,1 Mio. €). Die Lücke liegt fast vollständig in den Forderungen.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[00:22:35]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DSO 52 Tage (Q2: 48, Ziel 45). Forderungsbestand 8,5 Mio. €, davon 410 T€ älter als 90 Tage, davon 260 T€ Brückner Logistik (letzte Zahlung im Juni). Bei Brückner ist seit Juli der Sohn Geschäftsführer.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[00:26:05]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Mahnlauf ruhte bei der ERP-Umstellung im August drei Wochen statt einer. Rückstand 117 Mahnungen; nach dem Abgleich alt gegen neu sind 98 sauber, 19 brauchen eine Prüfung von Hand.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[00:24:56]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Fuhrpark: Kraftstoff +12 % zum Vorjahr bei 140 Fahrzeugen. Vorschlag: sechs E-Transporter für die Innenstadttouren.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[00:27:16]</w:t>
      </w:r>
    </w:p>
    <w:p>
      <w:pPr>
        <w:pStyle w:val="Heading1"/>
      </w:pPr>
      <w:r>
        <w:rPr>
          <w:rFonts w:ascii="Arial" w:cs="Arial" w:eastAsia="Arial" w:hAnsi="Arial"/>
        </w:rPr>
        <w:t xml:space="preserve">5. Vertrieb und Preise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5D656D"/>
          <w:sz w:val="18"/>
          <w:szCs w:val="18"/>
        </w:rPr>
        <w:t xml:space="preserve">Berichtet: Kemal Aydın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Neuabschlüsse 2,3 Mio. € Jahresvolumen (Ziel 2,0 Mio. €), davon Nordring 1,1 Mio. €. Verluste 1,4 Mio. €, davon Wessel Pharma 0,9 Mio. € ab 01.01.2027 (Ausschreibung verloren, Kroll lag 11 % über dem Wettbewerb). Netto +0,9 Mio. €.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[00:28:50]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Zwei kleinere Kündigungen in der Reinigung wegen Qualität, beide berechtigt.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[00:29:52]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Pipeline 4,8 Mio. €, gewichtet 1,9 Mio. €; Entscheidungen Hochschule und Klinikverbund im November. Umsatzwirksam frühestens Q2 2027.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[00:30:35]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61 % des Umsatzes mit Preisgleitklausel. 24 Verträge ohne Klausel mit 6,2 Mio. € p. a., teils seit sechs, sieben Jahren unverändert; zwei davon mit negativem Deckungsbeitrag. Ziel +4,5 % ab 01.01.2027, rund 280 T€ p. a.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[00:31:56]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Kunden fragen zunehmend nach Qualitätsnachweisen; die Audits aus der Reinigung helfen im Verkauf.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[00:34:58]</w:t>
      </w:r>
    </w:p>
    <w:p>
      <w:pPr>
        <w:pStyle w:val="Heading1"/>
      </w:pPr>
      <w:r>
        <w:rPr>
          <w:rFonts w:ascii="Arial" w:cs="Arial" w:eastAsia="Arial" w:hAnsi="Arial"/>
        </w:rPr>
        <w:t xml:space="preserve">6. Ausblick Q4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5D656D"/>
          <w:sz w:val="18"/>
          <w:szCs w:val="18"/>
        </w:rPr>
        <w:t xml:space="preserve">Berichtet: Andrea Vollmer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Forecast Q4 15,3 Mio. € (Plan 15,9 Mio. €): Nordring −100 T€, vorgezogene Instandsetzungen −340 T€, Grünpflege und Winterdienst −160 T€.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[00:35:31]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Jahr 2026: 59,38 Mio. € (Plan 61,0 Mio. €, −1,62 Mio. € / −2,7 %; Vorjahr 56,67 Mio. €, +4,8 %).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[00:36:25]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EBIT 2026: Q1 590, Q2 700, Q3 612, Q4 rund 550 T€, zusammen rund 2,45 Mio. € (Plan 3,1 Mio. €). Preiserhöhungen wirken erst 2027.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[00:37:16]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Sofort wirksam: Sonderaufträge vorab zwischen Reinigung und Vertrieb abstimmen, offene Winterdienst-Verträge aktiv nachfassen, Grippeimpfung in die Objekte bringen.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[00:39:55]</w:t>
      </w:r>
    </w:p>
    <w:p>
      <w:pPr>
        <w:pStyle w:val="Heading1"/>
      </w:pPr>
      <w:r>
        <w:rPr>
          <w:rFonts w:ascii="Arial" w:cs="Arial" w:eastAsia="Arial" w:hAnsi="Arial"/>
        </w:rPr>
        <w:t xml:space="preserve">7. Verschiedenes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5D656D"/>
          <w:sz w:val="18"/>
          <w:szCs w:val="18"/>
        </w:rPr>
        <w:t xml:space="preserve">Berichtet: Dr. Sabine Oberhausen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Kundenzufriedenheit: Die 98,7 % aus dem Imagefilm stammen aus einer Befragung von 2019 mit 11 % Rücklauf. Eine neue Befragung wird aufgesetzt.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[00:09:48]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Weihnachtsfeier am Freitag, 11.12.2026, im Landgasthof Schäfer. Teilnehmerzahlen aus den Objekten bis Ende Oktober an Frau Kessler.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[00:45:26]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Dr. Oberhausen ist vom 19. bis 23.10. im Urlaub, Vertretung Frau Vollmer. Freigabe Zeitarbeit für November vorher, Herr Heitkamp meldet sich bis 16.10.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[00:45:41]</w:t>
      </w:r>
    </w:p>
    <w:p>
      <w:pPr>
        <w:pStyle w:val="Heading1"/>
      </w:pPr>
      <w:r>
        <w:rPr>
          <w:rFonts w:ascii="Arial" w:cs="Arial" w:eastAsia="Arial" w:hAnsi="Arial"/>
        </w:rPr>
        <w:t xml:space="preserve">8. Beschlüsse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</w:rPr>
        <w:t xml:space="preserve">Zeitarbeit im vierten Quartal auf 300 T€ gedeckelt; den Monatsrahmen gibt die Geschäftsführerin frei.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[00:19:15]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</w:rPr>
        <w:t xml:space="preserve">Empfehlungsprämie von 500 € je über Empfehlung eingestellter Person, Auszahlung nach der Probezeit, ab 01.11.2026.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[00:20:10]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</w:rPr>
        <w:t xml:space="preserve">Preisgespräche mit allen 24 Kunden ohne Gleitklausel, Ziel +4,5 % ab 01.01.2027. Über Kündigungen bei Ablehnung entscheidet die Geschäftsführerin im Einzelfall.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[00:32:50]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</w:rPr>
        <w:t xml:space="preserve">Mahnlauf künftig wöchentlich.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[00:25:32]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</w:rPr>
        <w:t xml:space="preserve">Neue Kundenbefragung im ersten Quartal 2027.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[00:44:50]</w:t>
      </w:r>
    </w:p>
    <w:p>
      <w:pPr>
        <w:pStyle w:val="Heading1"/>
      </w:pPr>
      <w:r>
        <w:rPr>
          <w:rFonts w:ascii="Arial" w:cs="Arial" w:eastAsia="Arial" w:hAnsi="Arial"/>
        </w:rPr>
        <w:t xml:space="preserve">9. Aufgaben</w:t>
      </w:r>
    </w:p>
    <w:p>
      <w:pPr>
        <w:spacing w:after="80"/>
      </w:pPr>
      <w:r>
        <w:rPr>
          <w:rFonts w:ascii="Arial" w:cs="Arial" w:eastAsia="Arial" w:hAnsi="Arial"/>
          <w:color w:val="5D656D"/>
          <w:sz w:val="18"/>
          <w:szCs w:val="18"/>
        </w:rPr>
        <w:t xml:space="preserve">Vorgelesen und bestätigt am Ende des Gesprächs. Die Aufgaben liegen zusätzlich als aufgaben.csv vor.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038"/>
        <w:gridCol w:w="2440"/>
        <w:gridCol w:w="1600"/>
      </w:tblGrid>
      <w:tr>
        <w:trPr>
          <w:tblHeader/>
        </w:trP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0A4F8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0A4F8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Aufgabe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0A4F8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0A4F8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Termin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Liste der 24 Verträge ohne Preisgleitklausel mit Vorschlag je Kunde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Kemal Aydın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16.10.2026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Preisgespräche mit allen 24 Kunden, Ziel +4,5 % ab 01.01.2027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Kemal Aydın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30.11.2026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Anruf bei der Geschäftsführung von Brückner Logistik wegen 260 T€ (Vorbereitung: Herr Aydın)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Dr. Sabine Oberhausen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09.10.2026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Mahnrückstand von 117 Mahnungen abarbeiten, danach wöchentlicher Mahnlauf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Bernd Lüttgenau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23.10.2026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DSO-Bericht wöchentlich an die Geschäftsführerin (eine Seite)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Andrea Vollmer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ab 12.10.2026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Zeitarbeit in Q4 auf 300 T€ deckeln, Monatsrahmen mit der GF freigeben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Jörg Heitkamp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laufend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Empfehlungsprämie 500 € je Einstellung einführen, Auszahlung nach Probezeit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Jörg Heitkamp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ab 01.11.2026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Konzept gegen die Krankenquote: Rückkehrgespräche, Gesundheitsangebot, Touren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Jörg Heitkamp, Marion Fechner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13.11.2026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Übergang der 14 Mitarbeitenden aus Wessel Pharma in andere Objekte planen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Kemal Aydın, Jörg Heitkamp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15.12.2026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Anlauf Logistikpark Nordring, 22 Stellen besetzen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Frank Dietz, Jörg Heitkamp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01.11.2026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Prüfauftrag Grünpflege: Preise, Wetterklauseln, Winterdienst-Vorverkauf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Frank Dietz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12.01.2027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Qualitätsaudits in der Reinigung, monatlicher Reklamationsbericht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Marion Fechner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ab November 2026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Forecast Q4 mit Begründung an den Beirat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Andrea Vollmer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20.10.2026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Drei Angebote für sechs E-Transporter einholen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Bernd Lüttgenau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shd w:fill="F7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30.10.2026</w:t>
            </w:r>
          </w:p>
        </w:tc>
      </w:tr>
      <w:tr>
        <w:tc>
          <w:tcPr>
            <w:tcW w:type="dxa" w:w="56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5038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Neue Kundenbefragung aufsetzen (Kundenliste: Herr Aydın)</w:t>
            </w:r>
          </w:p>
        </w:tc>
        <w:tc>
          <w:tcPr>
            <w:tcW w:type="dxa" w:w="244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Melanie Kessler, Kemal Aydın</w:t>
            </w:r>
          </w:p>
        </w:tc>
        <w:tc>
          <w:tcPr>
            <w:tcW w:type="dxa" w:w="1600"/>
            <w:tcBorders>
              <w:top w:val="single" w:color="D5D9DD" w:sz="4"/>
              <w:left w:val="single" w:color="D5D9DD" w:sz="4"/>
              <w:bottom w:val="single" w:color="D5D9DD" w:sz="4"/>
              <w:right w:val="single" w:color="D5D9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Q1 2027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Absprachen ohne Beschluss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Sonderaufträge stimmen Frau Fechner und Herr Aydın vor der Zusage telefonisch ab.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[00:39:26]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Herr Dietz ruft die offenen 40 % der Winterdienst-Kunden ab sofort aktiv an.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[00:39:55]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Herr Heitkamp bringt die Grippeimpfung über den Betriebsarzt in die Objekte.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[00:41:19]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Reinigungsmittel: Der Lieferant erhöht zum 01.01. um 6 % (Volumen 400 bis 450 T€ p. a.). Herr Lüttgenau schaut sich eine Ausschreibung an; Thema für das nächste Quartalsgespräch, heute kein Beschluss.</w:t>
      </w:r>
      <w:r>
        <w:rPr>
          <w:rFonts w:ascii="Arial" w:cs="Arial" w:eastAsia="Arial" w:hAnsi="Arial"/>
          <w:color w:val="5D656D"/>
          <w:sz w:val="16"/>
          <w:szCs w:val="16"/>
        </w:rPr>
        <w:t xml:space="preserve">  [00:40:35]</w:t>
      </w:r>
    </w:p>
    <w:p>
      <w:pPr>
        <w:pStyle w:val="Heading2"/>
      </w:pPr>
      <w:r>
        <w:rPr>
          <w:rFonts w:ascii="Arial" w:cs="Arial" w:eastAsia="Arial" w:hAnsi="Arial"/>
        </w:rPr>
        <w:t xml:space="preserve">Termine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Nächstes Quartalsgespräch: Dienstag, 12.01.2027, 09:00 Uhr, Besprechungsraum 3. OG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Weihnachtsfeier: Freitag, 11.12.2026, Landgasthof Schäfer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</w:rPr>
        <w:t xml:space="preserve">Urlaub Dr. Oberhausen: 19. bis 23.10.2026, Vertretung Andrea Vollmer</w:t>
      </w:r>
    </w:p>
    <w:p>
      <w:pPr>
        <w:pBdr>
          <w:top w:val="single" w:color="D5D9DD" w:sz="4" w:space="6"/>
        </w:pBdr>
        <w:spacing w:before="360"/>
      </w:pPr>
      <w:r>
        <w:rPr>
          <w:rFonts w:ascii="Arial" w:cs="Arial" w:eastAsia="Arial" w:hAnsi="Arial"/>
          <w:color w:val="5D656D"/>
          <w:sz w:val="16"/>
          <w:szCs w:val="16"/>
        </w:rPr>
        <w:t xml:space="preserve">Protokoll: Melanie Kessler. Erstellt aus dem Transkript der Aufnahme; die Zeitangaben in eckigen Klammern verweisen auf die Stelle im Transkript. Kroll Facility Services GmbH und alle Personen sind erfunden.</w:t>
      </w:r>
    </w:p>
    <w:sectPr>
      <w:headerReference w:type="default" r:id="rId6"/>
      <w:footerReference w:type="default" r:id="rId7"/>
      <w:pgSz w:w="11906" w:h="16838" w:orient="portrait"/>
      <w:pgMar w:top="1418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D656D"/>
        <w:sz w:val="16"/>
        <w:szCs w:val="16"/>
      </w:rPr>
      <w:t xml:space="preserve">Intern · nur für den Teilnehmerkreis</w:t>
    </w:r>
    <w:r>
      <w:rPr>
        <w:rFonts w:ascii="Arial" w:cs="Arial" w:eastAsia="Arial" w:hAnsi="Arial"/>
        <w:color w:val="5D656D"/>
        <w:sz w:val="16"/>
        <w:szCs w:val="16"/>
      </w:rPr>
      <w:t xml:space="preserve">	Seite </w:t>
    </w:r>
    <w:r>
      <w:rPr>
        <w:rFonts w:ascii="Arial" w:cs="Arial" w:eastAsia="Arial" w:hAnsi="Arial"/>
        <w:color w:val="5D656D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D656D"/>
        <w:sz w:val="16"/>
        <w:szCs w:val="16"/>
      </w:rPr>
      <w:t xml:space="preserve"> von </w:t>
    </w:r>
    <w:r>
      <w:rPr>
        <w:rFonts w:ascii="Arial" w:cs="Arial" w:eastAsia="Arial" w:hAnsi="Arial"/>
        <w:color w:val="5D656D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D9DD" w:sz="4" w:space="6"/>
      </w:pBdr>
      <w:tabs>
        <w:tab w:val="right" w:pos="9638"/>
      </w:tabs>
    </w:pPr>
    <w:r>
      <w:drawing>
        <wp:inline distT="0" distB="0" distL="0" distR="0">
          <wp:extent cx="247650" cy="2476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73A69"/>
        <w:spacing w:val="30"/>
        <w:sz w:val="22"/>
        <w:szCs w:val="22"/>
      </w:rPr>
      <w:t xml:space="preserve">  KROLL</w:t>
    </w:r>
    <w:r>
      <w:rPr>
        <w:rFonts w:ascii="Arial" w:cs="Arial" w:eastAsia="Arial" w:hAnsi="Arial"/>
        <w:color w:val="5D656D"/>
        <w:sz w:val="16"/>
        <w:szCs w:val="16"/>
      </w:rPr>
      <w:t xml:space="preserve">  Facility Services GmbH</w:t>
    </w:r>
    <w:r>
      <w:rPr>
        <w:rFonts w:ascii="Arial" w:cs="Arial" w:eastAsia="Arial" w:hAnsi="Arial"/>
        <w:color w:val="5D656D"/>
        <w:sz w:val="16"/>
        <w:szCs w:val="16"/>
      </w:rPr>
      <w:t xml:space="preserve">	Quartalsgespräch Q3 2026 · 06.10.2026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  <w:rPr>
        <w:b/>
        <w:bCs/>
        <w:color w:val="0A4F8F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B%1"/>
      <w:lvlJc w:val="left"/>
      <w:pPr>
        <w:ind w:left="520" w:hanging="520"/>
      </w:pPr>
      <w:rPr>
        <w:b/>
        <w:bCs/>
        <w:color w:val="6AA84F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F33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00"/>
    </w:pPr>
    <w:rPr>
      <w:rFonts w:ascii="Arial" w:cs="Arial" w:eastAsia="Arial" w:hAnsi="Arial"/>
      <w:b/>
      <w:bCs/>
      <w:color w:val="073A69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80" w:before="320"/>
      <w:outlineLvl w:val="0"/>
    </w:pPr>
    <w:rPr>
      <w:rFonts w:ascii="Arial" w:cs="Arial" w:eastAsia="Arial" w:hAnsi="Arial"/>
      <w:b/>
      <w:bCs/>
      <w:color w:val="0A4F8F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073A69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4cc1ccdce3e033c563c3b51fd191689d05a6b8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Ergebnisprotokoll Quartalsgespräch Q3 2026</dc:title>
  <dc:creator>Melanie Kessler</dc:creator>
  <dc:description>Kroll Facility Services GmbH</dc:description>
  <cp:lastModifiedBy>Un-named</cp:lastModifiedBy>
  <cp:revision>1</cp:revision>
  <dcterms:created xsi:type="dcterms:W3CDTF">2026-10-07T13:57:47.782Z</dcterms:created>
  <dcterms:modified xsi:type="dcterms:W3CDTF">2026-10-07T13:57:47.783Z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